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F90" w:rsidRDefault="002B1558" w:rsidP="00315BF9">
      <w:pPr>
        <w:shd w:val="clear" w:color="auto" w:fill="FFFFFF"/>
        <w:spacing w:after="0" w:line="240" w:lineRule="atLeast"/>
        <w:jc w:val="both"/>
        <w:rPr>
          <w:rFonts w:ascii="Arial" w:eastAsia="Times New Roman" w:hAnsi="Arial" w:cs="Arial"/>
          <w:sz w:val="20"/>
          <w:szCs w:val="20"/>
          <w:lang w:eastAsia="sl-SI"/>
        </w:rPr>
      </w:pPr>
      <w:r w:rsidRPr="002B1558">
        <w:rPr>
          <w:rFonts w:ascii="Arial" w:eastAsia="Times New Roman" w:hAnsi="Arial" w:cs="Arial"/>
          <w:sz w:val="20"/>
          <w:szCs w:val="20"/>
          <w:lang w:eastAsia="sl-SI"/>
        </w:rPr>
        <w:t xml:space="preserve">Na podlagi 3. točke II. Poglavja Kolektivne pogodbe za kulturne dejavnosti v Republiki Sloveniji (Uradni list RS, št. 45/94, 45/94, 39/96, 39/99 – ZMPUPR, 82/99, 102/00, 52/01, 64/01, 43/06 – ZKolP, 60/08, 32/09, 32/09, 40/12, 46/13, 106/15, 46/17, 2/17 – </w:t>
      </w:r>
      <w:proofErr w:type="spellStart"/>
      <w:r w:rsidRPr="002B1558">
        <w:rPr>
          <w:rFonts w:ascii="Arial" w:eastAsia="Times New Roman" w:hAnsi="Arial" w:cs="Arial"/>
          <w:sz w:val="20"/>
          <w:szCs w:val="20"/>
          <w:lang w:eastAsia="sl-SI"/>
        </w:rPr>
        <w:t>popr</w:t>
      </w:r>
      <w:proofErr w:type="spellEnd"/>
      <w:r w:rsidRPr="002B1558">
        <w:rPr>
          <w:rFonts w:ascii="Arial" w:eastAsia="Times New Roman" w:hAnsi="Arial" w:cs="Arial"/>
          <w:sz w:val="20"/>
          <w:szCs w:val="20"/>
          <w:lang w:eastAsia="sl-SI"/>
        </w:rPr>
        <w:t>. in 80/18)</w:t>
      </w:r>
      <w:r>
        <w:rPr>
          <w:rFonts w:ascii="Arial" w:eastAsia="Times New Roman" w:hAnsi="Arial" w:cs="Arial"/>
          <w:sz w:val="20"/>
          <w:szCs w:val="20"/>
          <w:lang w:eastAsia="sl-SI"/>
        </w:rPr>
        <w:t xml:space="preserve"> </w:t>
      </w:r>
    </w:p>
    <w:p w:rsidR="00510F90" w:rsidRDefault="00510F90" w:rsidP="00315BF9">
      <w:pPr>
        <w:shd w:val="clear" w:color="auto" w:fill="FFFFFF"/>
        <w:spacing w:after="0" w:line="240" w:lineRule="atLeast"/>
        <w:jc w:val="both"/>
        <w:rPr>
          <w:rFonts w:ascii="Arial" w:eastAsia="Times New Roman" w:hAnsi="Arial" w:cs="Arial"/>
          <w:sz w:val="20"/>
          <w:szCs w:val="20"/>
          <w:lang w:eastAsia="sl-SI"/>
        </w:rPr>
      </w:pPr>
    </w:p>
    <w:p w:rsidR="002B1558" w:rsidRDefault="002B1558" w:rsidP="00315BF9">
      <w:pPr>
        <w:shd w:val="clear" w:color="auto" w:fill="FFFFFF"/>
        <w:spacing w:after="0" w:line="240" w:lineRule="atLeast"/>
        <w:jc w:val="both"/>
        <w:rPr>
          <w:rFonts w:ascii="Arial" w:eastAsia="Times New Roman" w:hAnsi="Arial" w:cs="Arial"/>
          <w:sz w:val="20"/>
          <w:szCs w:val="20"/>
          <w:lang w:eastAsia="sl-SI"/>
        </w:rPr>
      </w:pPr>
      <w:r w:rsidRPr="002B1558">
        <w:rPr>
          <w:rFonts w:ascii="Arial" w:eastAsia="Times New Roman" w:hAnsi="Arial" w:cs="Arial"/>
          <w:sz w:val="20"/>
          <w:szCs w:val="20"/>
          <w:lang w:eastAsia="sl-SI"/>
        </w:rPr>
        <w:t>Vlada Republike Slovenije</w:t>
      </w:r>
      <w:r w:rsidR="00510F90">
        <w:rPr>
          <w:rFonts w:ascii="Arial" w:eastAsia="Times New Roman" w:hAnsi="Arial" w:cs="Arial"/>
          <w:sz w:val="20"/>
          <w:szCs w:val="20"/>
          <w:lang w:eastAsia="sl-SI"/>
        </w:rPr>
        <w:t>,</w:t>
      </w:r>
      <w:r w:rsidR="00510F90" w:rsidRPr="00510F90">
        <w:rPr>
          <w:rFonts w:ascii="Arial" w:eastAsia="Times New Roman" w:hAnsi="Arial" w:cs="Arial"/>
          <w:sz w:val="20"/>
          <w:szCs w:val="20"/>
          <w:lang w:eastAsia="sl-SI"/>
        </w:rPr>
        <w:t xml:space="preserve"> </w:t>
      </w:r>
      <w:r w:rsidR="00510F90" w:rsidRPr="002B1558">
        <w:rPr>
          <w:rFonts w:ascii="Arial" w:eastAsia="Times New Roman" w:hAnsi="Arial" w:cs="Arial"/>
          <w:sz w:val="20"/>
          <w:szCs w:val="20"/>
          <w:lang w:eastAsia="sl-SI"/>
        </w:rPr>
        <w:t>kot stranka na strani delodajalca,</w:t>
      </w:r>
      <w:r w:rsidRPr="002B1558">
        <w:rPr>
          <w:rFonts w:ascii="Arial" w:eastAsia="Times New Roman" w:hAnsi="Arial" w:cs="Arial"/>
          <w:sz w:val="20"/>
          <w:szCs w:val="20"/>
          <w:lang w:eastAsia="sl-SI"/>
        </w:rPr>
        <w:t xml:space="preserve"> ki jo zastopa minist</w:t>
      </w:r>
      <w:r>
        <w:rPr>
          <w:rFonts w:ascii="Arial" w:eastAsia="Times New Roman" w:hAnsi="Arial" w:cs="Arial"/>
          <w:sz w:val="20"/>
          <w:szCs w:val="20"/>
          <w:lang w:eastAsia="sl-SI"/>
        </w:rPr>
        <w:t>er</w:t>
      </w:r>
      <w:r w:rsidRPr="002B1558">
        <w:rPr>
          <w:rFonts w:ascii="Arial" w:eastAsia="Times New Roman" w:hAnsi="Arial" w:cs="Arial"/>
          <w:sz w:val="20"/>
          <w:szCs w:val="20"/>
          <w:lang w:eastAsia="sl-SI"/>
        </w:rPr>
        <w:t xml:space="preserve"> za kulturo, dr. </w:t>
      </w:r>
      <w:r>
        <w:rPr>
          <w:rFonts w:ascii="Arial" w:eastAsia="Times New Roman" w:hAnsi="Arial" w:cs="Arial"/>
          <w:sz w:val="20"/>
          <w:szCs w:val="20"/>
          <w:lang w:eastAsia="sl-SI"/>
        </w:rPr>
        <w:t>Vasko Simoniti</w:t>
      </w:r>
      <w:r w:rsidRPr="002B1558">
        <w:rPr>
          <w:rFonts w:ascii="Arial" w:eastAsia="Times New Roman" w:hAnsi="Arial" w:cs="Arial"/>
          <w:sz w:val="20"/>
          <w:szCs w:val="20"/>
          <w:lang w:eastAsia="sl-SI"/>
        </w:rPr>
        <w:t>,</w:t>
      </w:r>
      <w:r w:rsidR="00315BF9">
        <w:rPr>
          <w:rFonts w:ascii="Arial" w:eastAsia="Times New Roman" w:hAnsi="Arial" w:cs="Arial"/>
          <w:sz w:val="20"/>
          <w:szCs w:val="20"/>
          <w:lang w:eastAsia="sl-SI"/>
        </w:rPr>
        <w:t xml:space="preserve"> </w:t>
      </w:r>
    </w:p>
    <w:p w:rsidR="002B1558" w:rsidRDefault="002B1558" w:rsidP="00315BF9">
      <w:pPr>
        <w:shd w:val="clear" w:color="auto" w:fill="FFFFFF"/>
        <w:spacing w:after="0" w:line="240" w:lineRule="atLeast"/>
        <w:ind w:firstLine="240"/>
        <w:rPr>
          <w:rFonts w:ascii="Arial" w:eastAsia="Times New Roman" w:hAnsi="Arial" w:cs="Arial"/>
          <w:sz w:val="20"/>
          <w:szCs w:val="20"/>
          <w:lang w:eastAsia="sl-SI"/>
        </w:rPr>
      </w:pPr>
      <w:r w:rsidRPr="002B1558">
        <w:rPr>
          <w:rFonts w:ascii="Arial" w:eastAsia="Times New Roman" w:hAnsi="Arial" w:cs="Arial"/>
          <w:sz w:val="20"/>
          <w:szCs w:val="20"/>
          <w:lang w:eastAsia="sl-SI"/>
        </w:rPr>
        <w:br/>
        <w:t>in</w:t>
      </w:r>
    </w:p>
    <w:p w:rsidR="00510F90" w:rsidRDefault="002B1558" w:rsidP="00315BF9">
      <w:pPr>
        <w:shd w:val="clear" w:color="auto" w:fill="FFFFFF"/>
        <w:spacing w:after="0" w:line="240" w:lineRule="atLeast"/>
        <w:ind w:firstLine="240"/>
        <w:rPr>
          <w:rFonts w:ascii="Arial" w:eastAsia="Times New Roman" w:hAnsi="Arial" w:cs="Arial"/>
          <w:sz w:val="20"/>
          <w:szCs w:val="20"/>
          <w:lang w:eastAsia="sl-SI"/>
        </w:rPr>
      </w:pPr>
      <w:r w:rsidRPr="002B1558">
        <w:rPr>
          <w:rFonts w:ascii="Arial" w:eastAsia="Times New Roman" w:hAnsi="Arial" w:cs="Arial"/>
          <w:sz w:val="20"/>
          <w:szCs w:val="20"/>
          <w:lang w:eastAsia="sl-SI"/>
        </w:rPr>
        <w:br/>
      </w:r>
      <w:r w:rsidR="00510F90">
        <w:rPr>
          <w:rFonts w:ascii="Arial" w:eastAsia="Times New Roman" w:hAnsi="Arial" w:cs="Arial"/>
          <w:sz w:val="20"/>
          <w:szCs w:val="20"/>
          <w:lang w:eastAsia="sl-SI"/>
        </w:rPr>
        <w:t>reprezentativni sindikati javnega sektorja</w:t>
      </w:r>
    </w:p>
    <w:p w:rsidR="00510F90" w:rsidRDefault="00510F90" w:rsidP="00510F90">
      <w:pPr>
        <w:shd w:val="clear" w:color="auto" w:fill="FFFFFF"/>
        <w:spacing w:after="0" w:line="240" w:lineRule="atLeast"/>
        <w:rPr>
          <w:rFonts w:ascii="Arial" w:eastAsia="Times New Roman" w:hAnsi="Arial" w:cs="Arial"/>
          <w:sz w:val="20"/>
          <w:szCs w:val="20"/>
          <w:lang w:eastAsia="sl-SI"/>
        </w:rPr>
      </w:pPr>
    </w:p>
    <w:p w:rsidR="00315BF9" w:rsidRDefault="002B1558" w:rsidP="00510F90">
      <w:pPr>
        <w:shd w:val="clear" w:color="auto" w:fill="FFFFFF"/>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t>GLOSA – Sindikat kulture in narave Slovenije, ki ga zastopa Mitja Šuštar,</w:t>
      </w:r>
    </w:p>
    <w:p w:rsidR="002B1558" w:rsidRPr="002B1558" w:rsidRDefault="002B1558" w:rsidP="00315BF9">
      <w:pPr>
        <w:shd w:val="clear" w:color="auto" w:fill="FFFFFF"/>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t>SVIZ – Sindikat vzgoje, izobraževanja, znanosti in kulture Slovenije, ki ga zastopa Branimir Štrukelj,</w:t>
      </w:r>
    </w:p>
    <w:p w:rsidR="002B1558" w:rsidRPr="002B1558" w:rsidRDefault="002B1558" w:rsidP="00315BF9">
      <w:pPr>
        <w:shd w:val="clear" w:color="auto" w:fill="FFFFFF"/>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t>Sindikat novinarjev Slovenije, ki ga zastopa Tomaž Karat,</w:t>
      </w:r>
    </w:p>
    <w:p w:rsidR="002B1558" w:rsidRPr="002B1558" w:rsidRDefault="002B1558" w:rsidP="00315BF9">
      <w:pPr>
        <w:shd w:val="clear" w:color="auto" w:fill="FFFFFF"/>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t>Sindikat delavcev radiodifuzije Slovenije, ki ga zastopa Tom Zalaznik, in</w:t>
      </w:r>
    </w:p>
    <w:p w:rsidR="002B1558" w:rsidRPr="002B1558" w:rsidRDefault="002B1558" w:rsidP="00315BF9">
      <w:pPr>
        <w:shd w:val="clear" w:color="auto" w:fill="FFFFFF"/>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t>Sindikat kulturnih in umetniških ustvarjalcev RTV Slovenije, ki ga zastopa Peter Kosmač,</w:t>
      </w:r>
    </w:p>
    <w:p w:rsidR="00A75393" w:rsidRDefault="00A75393" w:rsidP="00A75393">
      <w:pPr>
        <w:shd w:val="clear" w:color="auto" w:fill="FFFFFF"/>
        <w:spacing w:after="0" w:line="240" w:lineRule="atLeast"/>
        <w:rPr>
          <w:rFonts w:ascii="Arial" w:eastAsia="Times New Roman" w:hAnsi="Arial" w:cs="Arial"/>
          <w:sz w:val="20"/>
          <w:szCs w:val="20"/>
          <w:lang w:eastAsia="sl-SI"/>
        </w:rPr>
      </w:pPr>
    </w:p>
    <w:p w:rsidR="002B1558" w:rsidRDefault="002B1558" w:rsidP="00A75393">
      <w:pPr>
        <w:shd w:val="clear" w:color="auto" w:fill="FFFFFF"/>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t>kot strank</w:t>
      </w:r>
      <w:r w:rsidR="00510F90">
        <w:rPr>
          <w:rFonts w:ascii="Arial" w:eastAsia="Times New Roman" w:hAnsi="Arial" w:cs="Arial"/>
          <w:sz w:val="20"/>
          <w:szCs w:val="20"/>
          <w:lang w:eastAsia="sl-SI"/>
        </w:rPr>
        <w:t>e</w:t>
      </w:r>
      <w:r w:rsidRPr="002B1558">
        <w:rPr>
          <w:rFonts w:ascii="Arial" w:eastAsia="Times New Roman" w:hAnsi="Arial" w:cs="Arial"/>
          <w:sz w:val="20"/>
          <w:szCs w:val="20"/>
          <w:lang w:eastAsia="sl-SI"/>
        </w:rPr>
        <w:t xml:space="preserve"> na strani</w:t>
      </w:r>
      <w:r w:rsidR="00315BF9">
        <w:rPr>
          <w:rFonts w:ascii="Arial" w:eastAsia="Times New Roman" w:hAnsi="Arial" w:cs="Arial"/>
          <w:sz w:val="20"/>
          <w:szCs w:val="20"/>
          <w:lang w:eastAsia="sl-SI"/>
        </w:rPr>
        <w:t xml:space="preserve"> javnih uslužbencev</w:t>
      </w:r>
      <w:r w:rsidR="00A75393">
        <w:rPr>
          <w:rFonts w:ascii="Arial" w:eastAsia="Times New Roman" w:hAnsi="Arial" w:cs="Arial"/>
          <w:sz w:val="20"/>
          <w:szCs w:val="20"/>
          <w:lang w:eastAsia="sl-SI"/>
        </w:rPr>
        <w:t xml:space="preserve"> </w:t>
      </w:r>
      <w:r w:rsidRPr="002B1558">
        <w:rPr>
          <w:rFonts w:ascii="Arial" w:eastAsia="Times New Roman" w:hAnsi="Arial" w:cs="Arial"/>
          <w:sz w:val="20"/>
          <w:szCs w:val="20"/>
          <w:lang w:eastAsia="sl-SI"/>
        </w:rPr>
        <w:t>sklenejo</w:t>
      </w:r>
    </w:p>
    <w:p w:rsidR="00A75393" w:rsidRPr="002B1558" w:rsidRDefault="00A75393" w:rsidP="00A75393">
      <w:pPr>
        <w:shd w:val="clear" w:color="auto" w:fill="FFFFFF"/>
        <w:spacing w:after="0" w:line="240" w:lineRule="atLeast"/>
        <w:rPr>
          <w:rFonts w:ascii="Arial" w:eastAsia="Times New Roman" w:hAnsi="Arial" w:cs="Arial"/>
          <w:sz w:val="20"/>
          <w:szCs w:val="20"/>
          <w:lang w:eastAsia="sl-SI"/>
        </w:rPr>
      </w:pPr>
    </w:p>
    <w:p w:rsidR="002B1558" w:rsidRDefault="002B1558" w:rsidP="00A75393">
      <w:pPr>
        <w:shd w:val="clear" w:color="auto" w:fill="FFFFFF"/>
        <w:spacing w:after="0" w:line="360" w:lineRule="atLeast"/>
        <w:jc w:val="center"/>
        <w:rPr>
          <w:rFonts w:ascii="Arial" w:eastAsia="Times New Roman" w:hAnsi="Arial" w:cs="Arial"/>
          <w:b/>
          <w:bCs/>
          <w:sz w:val="20"/>
          <w:szCs w:val="20"/>
          <w:lang w:eastAsia="sl-SI"/>
        </w:rPr>
      </w:pPr>
      <w:r w:rsidRPr="002B1558">
        <w:rPr>
          <w:rFonts w:ascii="Arial" w:eastAsia="Times New Roman" w:hAnsi="Arial" w:cs="Arial"/>
          <w:b/>
          <w:bCs/>
          <w:sz w:val="20"/>
          <w:szCs w:val="20"/>
          <w:lang w:eastAsia="sl-SI"/>
        </w:rPr>
        <w:t>ANEKS</w:t>
      </w:r>
      <w:r w:rsidRPr="002B1558">
        <w:rPr>
          <w:rFonts w:ascii="Arial" w:eastAsia="Times New Roman" w:hAnsi="Arial" w:cs="Arial"/>
          <w:b/>
          <w:bCs/>
          <w:sz w:val="20"/>
          <w:szCs w:val="20"/>
          <w:lang w:eastAsia="sl-SI"/>
        </w:rPr>
        <w:br/>
      </w:r>
      <w:r w:rsidR="00A75393" w:rsidRPr="002B1558">
        <w:rPr>
          <w:rFonts w:ascii="Arial" w:eastAsia="Times New Roman" w:hAnsi="Arial" w:cs="Arial"/>
          <w:b/>
          <w:bCs/>
          <w:sz w:val="20"/>
          <w:szCs w:val="20"/>
          <w:lang w:eastAsia="sl-SI"/>
        </w:rPr>
        <w:t>H KOLEKTIVNI POGODBI ZA KULTURNE DEJAVNOSTI V REPUBLIKI SLOVENIJI</w:t>
      </w:r>
    </w:p>
    <w:p w:rsidR="00A75393" w:rsidRDefault="00A75393" w:rsidP="00A75393">
      <w:pPr>
        <w:shd w:val="clear" w:color="auto" w:fill="FFFFFF"/>
        <w:spacing w:after="0" w:line="360" w:lineRule="atLeast"/>
        <w:jc w:val="center"/>
        <w:rPr>
          <w:rFonts w:ascii="Arial" w:eastAsia="Times New Roman" w:hAnsi="Arial" w:cs="Arial"/>
          <w:b/>
          <w:bCs/>
          <w:sz w:val="20"/>
          <w:szCs w:val="20"/>
          <w:lang w:eastAsia="sl-SI"/>
        </w:rPr>
      </w:pPr>
    </w:p>
    <w:p w:rsidR="002B1558" w:rsidRPr="002B1558" w:rsidRDefault="002B1558" w:rsidP="00A75393">
      <w:pPr>
        <w:spacing w:after="0" w:line="240" w:lineRule="atLeast"/>
        <w:rPr>
          <w:rFonts w:ascii="Arial" w:eastAsia="Times New Roman" w:hAnsi="Arial" w:cs="Arial"/>
          <w:sz w:val="20"/>
          <w:szCs w:val="20"/>
          <w:shd w:val="clear" w:color="auto" w:fill="FFFFFF"/>
          <w:lang w:eastAsia="sl-SI"/>
        </w:rPr>
      </w:pPr>
      <w:r w:rsidRPr="002B1558">
        <w:rPr>
          <w:rFonts w:ascii="Arial" w:eastAsia="Times New Roman" w:hAnsi="Arial" w:cs="Arial"/>
          <w:sz w:val="20"/>
          <w:szCs w:val="20"/>
          <w:lang w:eastAsia="sl-SI"/>
        </w:rPr>
        <w:fldChar w:fldCharType="begin"/>
      </w:r>
      <w:r w:rsidRPr="002B1558">
        <w:rPr>
          <w:rFonts w:ascii="Arial" w:eastAsia="Times New Roman" w:hAnsi="Arial" w:cs="Arial"/>
          <w:sz w:val="20"/>
          <w:szCs w:val="20"/>
          <w:lang w:eastAsia="sl-SI"/>
        </w:rPr>
        <w:instrText xml:space="preserve"> HYPERLINK "https://www.uradni-list.si/glasilo-uradni-list-rs/vsebina/2012-01-1709/" \l "1.%C2%A0%C4%8Dlen" </w:instrText>
      </w:r>
      <w:r w:rsidRPr="002B1558">
        <w:rPr>
          <w:rFonts w:ascii="Arial" w:eastAsia="Times New Roman" w:hAnsi="Arial" w:cs="Arial"/>
          <w:sz w:val="20"/>
          <w:szCs w:val="20"/>
          <w:lang w:eastAsia="sl-SI"/>
        </w:rPr>
        <w:fldChar w:fldCharType="separate"/>
      </w:r>
    </w:p>
    <w:p w:rsidR="002B1558" w:rsidRPr="00315BF9" w:rsidRDefault="002B1558" w:rsidP="00A75393">
      <w:pPr>
        <w:pStyle w:val="Odstavekseznama"/>
        <w:numPr>
          <w:ilvl w:val="0"/>
          <w:numId w:val="5"/>
        </w:numPr>
        <w:spacing w:after="0" w:line="240" w:lineRule="atLeast"/>
        <w:jc w:val="center"/>
        <w:rPr>
          <w:rFonts w:ascii="Arial" w:eastAsia="Times New Roman" w:hAnsi="Arial" w:cs="Arial"/>
          <w:bCs/>
          <w:sz w:val="20"/>
          <w:szCs w:val="20"/>
          <w:lang w:eastAsia="sl-SI"/>
        </w:rPr>
      </w:pPr>
      <w:r w:rsidRPr="00315BF9">
        <w:rPr>
          <w:rFonts w:ascii="Arial" w:eastAsia="Times New Roman" w:hAnsi="Arial" w:cs="Arial"/>
          <w:bCs/>
          <w:sz w:val="20"/>
          <w:szCs w:val="20"/>
          <w:shd w:val="clear" w:color="auto" w:fill="FFFFFF"/>
          <w:lang w:eastAsia="sl-SI"/>
        </w:rPr>
        <w:t>člen</w:t>
      </w:r>
    </w:p>
    <w:p w:rsidR="002B1558" w:rsidRPr="002B1558" w:rsidRDefault="002B1558" w:rsidP="00A75393">
      <w:pPr>
        <w:spacing w:after="0" w:line="240" w:lineRule="atLeast"/>
        <w:rPr>
          <w:rFonts w:ascii="Arial" w:eastAsia="Times New Roman" w:hAnsi="Arial" w:cs="Arial"/>
          <w:sz w:val="20"/>
          <w:szCs w:val="20"/>
          <w:lang w:eastAsia="sl-SI"/>
        </w:rPr>
      </w:pPr>
      <w:r w:rsidRPr="002B1558">
        <w:rPr>
          <w:rFonts w:ascii="Arial" w:eastAsia="Times New Roman" w:hAnsi="Arial" w:cs="Arial"/>
          <w:sz w:val="20"/>
          <w:szCs w:val="20"/>
          <w:lang w:eastAsia="sl-SI"/>
        </w:rPr>
        <w:fldChar w:fldCharType="end"/>
      </w:r>
    </w:p>
    <w:p w:rsidR="002B1558" w:rsidRDefault="002B1558" w:rsidP="00A75393">
      <w:pPr>
        <w:spacing w:after="0" w:line="240" w:lineRule="atLeast"/>
        <w:jc w:val="both"/>
        <w:rPr>
          <w:rFonts w:ascii="Arial" w:hAnsi="Arial" w:cs="Arial"/>
          <w:sz w:val="20"/>
          <w:szCs w:val="20"/>
        </w:rPr>
      </w:pPr>
      <w:r w:rsidRPr="0008453D">
        <w:rPr>
          <w:rFonts w:ascii="Arial" w:hAnsi="Arial" w:cs="Arial"/>
          <w:sz w:val="20"/>
          <w:szCs w:val="20"/>
        </w:rPr>
        <w:t xml:space="preserve">S tem aneksom se ureja obračun kilometrine pri </w:t>
      </w:r>
      <w:bookmarkStart w:id="0" w:name="_Hlk935414"/>
      <w:r w:rsidRPr="0008453D">
        <w:rPr>
          <w:rFonts w:ascii="Arial" w:hAnsi="Arial" w:cs="Arial"/>
          <w:sz w:val="20"/>
          <w:szCs w:val="20"/>
        </w:rPr>
        <w:t>povračilu stroškov prevoza na delo in z dela ter kilometrine za uporabo lastnega avtomobila v državi</w:t>
      </w:r>
      <w:bookmarkEnd w:id="0"/>
      <w:r w:rsidRPr="0008453D">
        <w:rPr>
          <w:rFonts w:ascii="Arial" w:hAnsi="Arial" w:cs="Arial"/>
          <w:sz w:val="20"/>
          <w:szCs w:val="20"/>
        </w:rPr>
        <w:t xml:space="preserve"> od 1. oktobra</w:t>
      </w:r>
      <w:r w:rsidR="0064541F">
        <w:rPr>
          <w:rFonts w:ascii="Arial" w:hAnsi="Arial" w:cs="Arial"/>
          <w:sz w:val="20"/>
          <w:szCs w:val="20"/>
        </w:rPr>
        <w:t xml:space="preserve"> 2020</w:t>
      </w:r>
      <w:r w:rsidRPr="0008453D">
        <w:rPr>
          <w:rFonts w:ascii="Arial" w:hAnsi="Arial" w:cs="Arial"/>
          <w:sz w:val="20"/>
          <w:szCs w:val="20"/>
        </w:rPr>
        <w:t xml:space="preserve"> dalje. </w:t>
      </w:r>
    </w:p>
    <w:p w:rsidR="00A75393" w:rsidRDefault="00A75393" w:rsidP="00A75393">
      <w:pPr>
        <w:spacing w:after="0" w:line="240" w:lineRule="atLeast"/>
        <w:jc w:val="both"/>
        <w:rPr>
          <w:rFonts w:ascii="Arial" w:hAnsi="Arial" w:cs="Arial"/>
          <w:sz w:val="20"/>
          <w:szCs w:val="20"/>
        </w:rPr>
      </w:pPr>
    </w:p>
    <w:p w:rsidR="002B1558" w:rsidRPr="00315BF9" w:rsidRDefault="002B1558" w:rsidP="00A75393">
      <w:pPr>
        <w:pStyle w:val="Odstavekseznama"/>
        <w:numPr>
          <w:ilvl w:val="0"/>
          <w:numId w:val="3"/>
        </w:numPr>
        <w:spacing w:after="0" w:line="240" w:lineRule="atLeast"/>
        <w:jc w:val="center"/>
        <w:rPr>
          <w:rFonts w:ascii="Arial" w:eastAsia="Times New Roman" w:hAnsi="Arial" w:cs="Arial"/>
          <w:bCs/>
          <w:sz w:val="20"/>
          <w:szCs w:val="20"/>
          <w:shd w:val="clear" w:color="auto" w:fill="FFFFFF"/>
          <w:lang w:eastAsia="sl-SI"/>
        </w:rPr>
      </w:pPr>
      <w:r w:rsidRPr="00315BF9">
        <w:rPr>
          <w:rFonts w:ascii="Arial" w:eastAsia="Times New Roman" w:hAnsi="Arial" w:cs="Arial"/>
          <w:bCs/>
          <w:sz w:val="20"/>
          <w:szCs w:val="20"/>
          <w:shd w:val="clear" w:color="auto" w:fill="FFFFFF"/>
          <w:lang w:eastAsia="sl-SI"/>
        </w:rPr>
        <w:t>člen</w:t>
      </w:r>
    </w:p>
    <w:p w:rsidR="002B1558" w:rsidRPr="0008453D" w:rsidRDefault="002B1558" w:rsidP="00A75393">
      <w:pPr>
        <w:spacing w:after="0" w:line="240" w:lineRule="atLeast"/>
        <w:contextualSpacing/>
        <w:rPr>
          <w:rFonts w:ascii="Arial" w:hAnsi="Arial" w:cs="Arial"/>
          <w:sz w:val="20"/>
          <w:szCs w:val="20"/>
        </w:rPr>
      </w:pPr>
    </w:p>
    <w:p w:rsidR="00315BF9" w:rsidRDefault="002B1558" w:rsidP="00A75393">
      <w:pPr>
        <w:autoSpaceDE w:val="0"/>
        <w:autoSpaceDN w:val="0"/>
        <w:spacing w:after="0" w:line="240" w:lineRule="atLeast"/>
        <w:jc w:val="both"/>
        <w:rPr>
          <w:rFonts w:ascii="Arial" w:hAnsi="Arial" w:cs="Arial"/>
          <w:sz w:val="20"/>
          <w:szCs w:val="20"/>
        </w:rPr>
      </w:pPr>
      <w:r w:rsidRPr="0008453D">
        <w:rPr>
          <w:rFonts w:ascii="Arial" w:hAnsi="Arial" w:cs="Arial"/>
          <w:sz w:val="20"/>
          <w:szCs w:val="20"/>
        </w:rPr>
        <w:t>Za obračun kilometrine, določene</w:t>
      </w:r>
      <w:r w:rsidRPr="0008453D">
        <w:rPr>
          <w:rFonts w:ascii="Arial" w:hAnsi="Arial" w:cs="Arial"/>
          <w:i/>
          <w:iCs/>
          <w:color w:val="FF0000"/>
          <w:sz w:val="20"/>
          <w:szCs w:val="20"/>
        </w:rPr>
        <w:t xml:space="preserve"> </w:t>
      </w:r>
      <w:r w:rsidRPr="0008453D">
        <w:rPr>
          <w:rFonts w:ascii="Arial" w:hAnsi="Arial" w:cs="Arial"/>
          <w:sz w:val="20"/>
          <w:szCs w:val="20"/>
        </w:rPr>
        <w:t xml:space="preserve">v drugem in sedmem odstavku 5. člena ter tretjem odstavku 10. člena Aneksa h Kolektivni pogodbi za </w:t>
      </w:r>
      <w:r>
        <w:rPr>
          <w:rFonts w:ascii="Arial" w:hAnsi="Arial" w:cs="Arial"/>
          <w:sz w:val="20"/>
          <w:szCs w:val="20"/>
        </w:rPr>
        <w:t>kulturne</w:t>
      </w:r>
      <w:r w:rsidRPr="0008453D">
        <w:rPr>
          <w:rFonts w:ascii="Arial" w:hAnsi="Arial" w:cs="Arial"/>
          <w:sz w:val="20"/>
          <w:szCs w:val="20"/>
        </w:rPr>
        <w:t xml:space="preserve"> dejavnosti v Republiki Sloveniji (Uradni list RS, št. 40/12) se za podatek o ceni neosvinčenega motornega bencina – 95 oktanov uporabi najvišja cena bencina, ki je bila poročana Evropski komisiji na podlagi Pravilnika o vrstah podatkov, ki jih zagotavljajo izvajalci energetskih dejavnosti in drugi zavezanci (Uradni list RS, št. 22/16 in 24/16 – </w:t>
      </w:r>
      <w:proofErr w:type="spellStart"/>
      <w:r w:rsidRPr="0008453D">
        <w:rPr>
          <w:rFonts w:ascii="Arial" w:hAnsi="Arial" w:cs="Arial"/>
          <w:sz w:val="20"/>
          <w:szCs w:val="20"/>
        </w:rPr>
        <w:t>popr</w:t>
      </w:r>
      <w:proofErr w:type="spellEnd"/>
      <w:r w:rsidRPr="0008453D">
        <w:rPr>
          <w:rFonts w:ascii="Arial" w:hAnsi="Arial" w:cs="Arial"/>
          <w:sz w:val="20"/>
          <w:szCs w:val="20"/>
        </w:rPr>
        <w:t>.), za pretekli mesec, ki jo za vsak mesec posebej sporoči ministrstvo, pristojno za energijo, ministrstvu, pristojnemu za javno upravo, ki jo objavi na svoji spletni strani. Cena iz prejšnjega stavka se uporablja od prvega dne v mesecu, v katerem je bil podatek objavljen na spletni strani ministrstva, pristojnega za javno upravo.</w:t>
      </w:r>
    </w:p>
    <w:p w:rsidR="00510F90" w:rsidRDefault="00510F90" w:rsidP="00A75393">
      <w:pPr>
        <w:autoSpaceDE w:val="0"/>
        <w:autoSpaceDN w:val="0"/>
        <w:spacing w:after="0" w:line="240" w:lineRule="atLeast"/>
        <w:jc w:val="both"/>
        <w:rPr>
          <w:rFonts w:ascii="Arial" w:hAnsi="Arial" w:cs="Arial"/>
          <w:sz w:val="20"/>
          <w:szCs w:val="20"/>
        </w:rPr>
      </w:pPr>
    </w:p>
    <w:p w:rsidR="002B1558" w:rsidRDefault="00486F13" w:rsidP="00A75393">
      <w:pPr>
        <w:pStyle w:val="Odstavekseznama"/>
        <w:numPr>
          <w:ilvl w:val="0"/>
          <w:numId w:val="3"/>
        </w:numPr>
        <w:autoSpaceDE w:val="0"/>
        <w:autoSpaceDN w:val="0"/>
        <w:spacing w:after="0" w:line="240" w:lineRule="atLeast"/>
        <w:jc w:val="center"/>
        <w:rPr>
          <w:rFonts w:ascii="Arial" w:hAnsi="Arial" w:cs="Arial"/>
          <w:bCs/>
          <w:sz w:val="20"/>
          <w:szCs w:val="20"/>
        </w:rPr>
      </w:pPr>
      <w:r>
        <w:rPr>
          <w:rFonts w:ascii="Arial" w:hAnsi="Arial" w:cs="Arial"/>
          <w:bCs/>
          <w:sz w:val="20"/>
          <w:szCs w:val="20"/>
        </w:rPr>
        <w:t>č</w:t>
      </w:r>
      <w:r w:rsidR="002B1558" w:rsidRPr="00315BF9">
        <w:rPr>
          <w:rFonts w:ascii="Arial" w:hAnsi="Arial" w:cs="Arial"/>
          <w:bCs/>
          <w:sz w:val="20"/>
          <w:szCs w:val="20"/>
        </w:rPr>
        <w:t>len</w:t>
      </w:r>
    </w:p>
    <w:p w:rsidR="00A75393" w:rsidRPr="00315BF9" w:rsidRDefault="00A75393" w:rsidP="00A75393">
      <w:pPr>
        <w:pStyle w:val="Odstavekseznama"/>
        <w:autoSpaceDE w:val="0"/>
        <w:autoSpaceDN w:val="0"/>
        <w:spacing w:after="0" w:line="240" w:lineRule="atLeast"/>
        <w:ind w:left="360"/>
        <w:rPr>
          <w:rFonts w:ascii="Arial" w:hAnsi="Arial" w:cs="Arial"/>
          <w:bCs/>
          <w:sz w:val="20"/>
          <w:szCs w:val="20"/>
        </w:rPr>
      </w:pPr>
    </w:p>
    <w:p w:rsidR="002B1558" w:rsidRPr="0008453D" w:rsidRDefault="002B1558" w:rsidP="00A75393">
      <w:pPr>
        <w:tabs>
          <w:tab w:val="left" w:pos="709"/>
        </w:tabs>
        <w:autoSpaceDE w:val="0"/>
        <w:autoSpaceDN w:val="0"/>
        <w:adjustRightInd w:val="0"/>
        <w:spacing w:after="0" w:line="240" w:lineRule="atLeast"/>
        <w:jc w:val="both"/>
        <w:rPr>
          <w:rFonts w:ascii="Arial" w:hAnsi="Arial" w:cs="Arial"/>
          <w:sz w:val="20"/>
          <w:szCs w:val="20"/>
        </w:rPr>
      </w:pPr>
      <w:r w:rsidRPr="0008453D">
        <w:rPr>
          <w:rFonts w:ascii="Arial" w:hAnsi="Arial" w:cs="Arial"/>
          <w:sz w:val="20"/>
          <w:szCs w:val="20"/>
        </w:rPr>
        <w:t xml:space="preserve">Ne glede na določbo prejšnjega člena se za mesec oktober 2020 uporabi cena neosvinčenega motornega bencina – 95 oktanov, ki bo v skladu z metodologijo iz prejšnjega člena objavljena na spletni strani ministrstva, pristojnega za javno upravo, v mesecu novembru 2020. </w:t>
      </w:r>
    </w:p>
    <w:p w:rsidR="002B1558" w:rsidRPr="0008453D" w:rsidRDefault="002B1558" w:rsidP="00A75393">
      <w:pPr>
        <w:tabs>
          <w:tab w:val="left" w:pos="709"/>
        </w:tabs>
        <w:autoSpaceDE w:val="0"/>
        <w:autoSpaceDN w:val="0"/>
        <w:adjustRightInd w:val="0"/>
        <w:spacing w:after="0" w:line="240" w:lineRule="atLeast"/>
        <w:jc w:val="both"/>
        <w:rPr>
          <w:rFonts w:ascii="Arial" w:hAnsi="Arial" w:cs="Arial"/>
          <w:sz w:val="20"/>
          <w:szCs w:val="20"/>
        </w:rPr>
      </w:pPr>
    </w:p>
    <w:p w:rsidR="002B1558" w:rsidRDefault="002B1558" w:rsidP="00A75393">
      <w:pPr>
        <w:tabs>
          <w:tab w:val="left" w:pos="709"/>
        </w:tabs>
        <w:autoSpaceDE w:val="0"/>
        <w:autoSpaceDN w:val="0"/>
        <w:adjustRightInd w:val="0"/>
        <w:spacing w:after="0" w:line="240" w:lineRule="atLeast"/>
        <w:jc w:val="center"/>
        <w:rPr>
          <w:rFonts w:ascii="Arial" w:hAnsi="Arial" w:cs="Arial"/>
          <w:bCs/>
          <w:sz w:val="20"/>
          <w:szCs w:val="20"/>
        </w:rPr>
      </w:pPr>
      <w:r w:rsidRPr="00315BF9">
        <w:rPr>
          <w:rFonts w:ascii="Arial" w:hAnsi="Arial" w:cs="Arial"/>
          <w:bCs/>
          <w:sz w:val="20"/>
          <w:szCs w:val="20"/>
        </w:rPr>
        <w:t>KONČNA DOLOČBA</w:t>
      </w:r>
    </w:p>
    <w:p w:rsidR="00A75393" w:rsidRDefault="00A75393" w:rsidP="00A75393">
      <w:pPr>
        <w:tabs>
          <w:tab w:val="left" w:pos="709"/>
        </w:tabs>
        <w:autoSpaceDE w:val="0"/>
        <w:autoSpaceDN w:val="0"/>
        <w:adjustRightInd w:val="0"/>
        <w:spacing w:after="0" w:line="240" w:lineRule="atLeast"/>
        <w:jc w:val="center"/>
        <w:rPr>
          <w:rFonts w:ascii="Arial" w:hAnsi="Arial" w:cs="Arial"/>
          <w:bCs/>
          <w:sz w:val="20"/>
          <w:szCs w:val="20"/>
        </w:rPr>
      </w:pPr>
    </w:p>
    <w:p w:rsidR="002B1558" w:rsidRPr="00315BF9" w:rsidRDefault="002B1558" w:rsidP="00A75393">
      <w:pPr>
        <w:pStyle w:val="Odstavekseznama"/>
        <w:numPr>
          <w:ilvl w:val="0"/>
          <w:numId w:val="3"/>
        </w:numPr>
        <w:tabs>
          <w:tab w:val="left" w:pos="709"/>
        </w:tabs>
        <w:autoSpaceDE w:val="0"/>
        <w:autoSpaceDN w:val="0"/>
        <w:adjustRightInd w:val="0"/>
        <w:spacing w:after="0" w:line="240" w:lineRule="atLeast"/>
        <w:jc w:val="center"/>
        <w:rPr>
          <w:rFonts w:ascii="Arial" w:hAnsi="Arial" w:cs="Arial"/>
          <w:bCs/>
          <w:sz w:val="20"/>
          <w:szCs w:val="20"/>
        </w:rPr>
      </w:pPr>
      <w:r w:rsidRPr="00315BF9">
        <w:rPr>
          <w:rFonts w:ascii="Arial" w:hAnsi="Arial" w:cs="Arial"/>
          <w:bCs/>
          <w:sz w:val="20"/>
          <w:szCs w:val="20"/>
        </w:rPr>
        <w:t>člen</w:t>
      </w:r>
    </w:p>
    <w:p w:rsidR="00A75393" w:rsidRDefault="00A75393" w:rsidP="002B1558">
      <w:pPr>
        <w:tabs>
          <w:tab w:val="left" w:pos="709"/>
        </w:tabs>
        <w:autoSpaceDE w:val="0"/>
        <w:autoSpaceDN w:val="0"/>
        <w:adjustRightInd w:val="0"/>
        <w:spacing w:line="240" w:lineRule="atLeast"/>
        <w:rPr>
          <w:rFonts w:ascii="Arial" w:hAnsi="Arial" w:cs="Arial"/>
          <w:sz w:val="20"/>
          <w:szCs w:val="20"/>
        </w:rPr>
      </w:pPr>
    </w:p>
    <w:p w:rsidR="002B1558" w:rsidRPr="0008453D" w:rsidRDefault="002B1558" w:rsidP="002B1558">
      <w:pPr>
        <w:tabs>
          <w:tab w:val="left" w:pos="709"/>
        </w:tabs>
        <w:autoSpaceDE w:val="0"/>
        <w:autoSpaceDN w:val="0"/>
        <w:adjustRightInd w:val="0"/>
        <w:spacing w:line="240" w:lineRule="atLeast"/>
        <w:rPr>
          <w:rFonts w:ascii="Arial" w:hAnsi="Arial" w:cs="Arial"/>
          <w:sz w:val="20"/>
          <w:szCs w:val="20"/>
        </w:rPr>
      </w:pPr>
      <w:r w:rsidRPr="0008453D">
        <w:rPr>
          <w:rFonts w:ascii="Arial" w:hAnsi="Arial" w:cs="Arial"/>
          <w:sz w:val="20"/>
          <w:szCs w:val="20"/>
        </w:rPr>
        <w:t>Ta aneks začne veljati naslednji dan po objavi v Uradnem listu Republike Slovenije.</w:t>
      </w:r>
    </w:p>
    <w:p w:rsidR="002B1558" w:rsidRDefault="002B1558" w:rsidP="002B1558">
      <w:pPr>
        <w:shd w:val="clear" w:color="auto" w:fill="FFFFFF"/>
        <w:spacing w:after="0" w:line="240" w:lineRule="auto"/>
        <w:ind w:firstLine="240"/>
        <w:jc w:val="both"/>
        <w:rPr>
          <w:rFonts w:ascii="Arial" w:eastAsia="Times New Roman" w:hAnsi="Arial" w:cs="Arial"/>
          <w:sz w:val="20"/>
          <w:szCs w:val="20"/>
          <w:lang w:eastAsia="sl-SI"/>
        </w:rPr>
      </w:pPr>
    </w:p>
    <w:p w:rsidR="002B1558" w:rsidRDefault="002B1558" w:rsidP="002B1558">
      <w:pPr>
        <w:shd w:val="clear" w:color="auto" w:fill="FFFFFF"/>
        <w:spacing w:after="0" w:line="240" w:lineRule="auto"/>
        <w:ind w:firstLine="240"/>
        <w:jc w:val="both"/>
        <w:rPr>
          <w:rFonts w:ascii="Arial" w:eastAsia="Times New Roman" w:hAnsi="Arial" w:cs="Arial"/>
          <w:sz w:val="20"/>
          <w:szCs w:val="20"/>
          <w:lang w:eastAsia="sl-SI"/>
        </w:rPr>
      </w:pPr>
    </w:p>
    <w:p w:rsidR="002B1558" w:rsidRPr="002B1558" w:rsidRDefault="002B1558" w:rsidP="002B1558">
      <w:pPr>
        <w:shd w:val="clear" w:color="auto" w:fill="FFFFFF"/>
        <w:spacing w:after="0" w:line="240" w:lineRule="auto"/>
        <w:rPr>
          <w:rFonts w:ascii="Arial" w:eastAsia="Times New Roman" w:hAnsi="Arial" w:cs="Arial"/>
          <w:sz w:val="20"/>
          <w:szCs w:val="20"/>
          <w:lang w:eastAsia="sl-SI"/>
        </w:rPr>
      </w:pPr>
      <w:r w:rsidRPr="002B1558">
        <w:rPr>
          <w:rFonts w:ascii="Arial" w:eastAsia="Times New Roman" w:hAnsi="Arial" w:cs="Arial"/>
          <w:sz w:val="20"/>
          <w:szCs w:val="20"/>
          <w:lang w:eastAsia="sl-SI"/>
        </w:rPr>
        <w:t xml:space="preserve">Št. </w:t>
      </w:r>
    </w:p>
    <w:p w:rsidR="002B1558" w:rsidRPr="002B1558" w:rsidRDefault="002B1558" w:rsidP="002B1558">
      <w:pPr>
        <w:shd w:val="clear" w:color="auto" w:fill="FFFFFF"/>
        <w:spacing w:after="0" w:line="240" w:lineRule="auto"/>
        <w:rPr>
          <w:rFonts w:ascii="Arial" w:eastAsia="Times New Roman" w:hAnsi="Arial" w:cs="Arial"/>
          <w:sz w:val="20"/>
          <w:szCs w:val="20"/>
          <w:lang w:eastAsia="sl-SI"/>
        </w:rPr>
      </w:pPr>
      <w:r w:rsidRPr="002B1558">
        <w:rPr>
          <w:rFonts w:ascii="Arial" w:eastAsia="Times New Roman" w:hAnsi="Arial" w:cs="Arial"/>
          <w:sz w:val="20"/>
          <w:szCs w:val="20"/>
          <w:lang w:eastAsia="sl-SI"/>
        </w:rPr>
        <w:t xml:space="preserve">Ljubljana, dne </w:t>
      </w:r>
    </w:p>
    <w:p w:rsidR="002B1558" w:rsidRDefault="002B1558" w:rsidP="002B1558">
      <w:pPr>
        <w:shd w:val="clear" w:color="auto" w:fill="FFFFFF"/>
        <w:spacing w:after="0" w:line="240" w:lineRule="auto"/>
        <w:rPr>
          <w:rFonts w:ascii="Arial" w:eastAsia="Times New Roman" w:hAnsi="Arial" w:cs="Arial"/>
          <w:sz w:val="20"/>
          <w:szCs w:val="20"/>
          <w:lang w:eastAsia="sl-SI"/>
        </w:rPr>
      </w:pPr>
      <w:r w:rsidRPr="002B1558">
        <w:rPr>
          <w:rFonts w:ascii="Arial" w:eastAsia="Times New Roman" w:hAnsi="Arial" w:cs="Arial"/>
          <w:sz w:val="20"/>
          <w:szCs w:val="20"/>
          <w:lang w:eastAsia="sl-SI"/>
        </w:rPr>
        <w:t xml:space="preserve">EVA </w:t>
      </w:r>
    </w:p>
    <w:p w:rsidR="00315BF9" w:rsidRDefault="00315BF9" w:rsidP="002B1558">
      <w:pPr>
        <w:shd w:val="clear" w:color="auto" w:fill="FFFFFF"/>
        <w:spacing w:after="0" w:line="240" w:lineRule="auto"/>
        <w:rPr>
          <w:rFonts w:ascii="Arial" w:eastAsia="Times New Roman" w:hAnsi="Arial" w:cs="Arial"/>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5BF9" w:rsidTr="00315BF9">
        <w:tc>
          <w:tcPr>
            <w:tcW w:w="4531" w:type="dxa"/>
          </w:tcPr>
          <w:p w:rsidR="00315BF9" w:rsidRDefault="00315BF9" w:rsidP="00315BF9">
            <w:pPr>
              <w:jc w:val="center"/>
              <w:rPr>
                <w:rFonts w:ascii="Arial" w:eastAsia="Times New Roman" w:hAnsi="Arial" w:cs="Arial"/>
                <w:sz w:val="20"/>
                <w:szCs w:val="20"/>
                <w:lang w:eastAsia="sl-SI"/>
              </w:rPr>
            </w:pPr>
            <w:r w:rsidRPr="00315BF9">
              <w:rPr>
                <w:rFonts w:ascii="Arial" w:eastAsia="Times New Roman" w:hAnsi="Arial" w:cs="Arial"/>
                <w:b/>
                <w:bCs/>
                <w:color w:val="000000"/>
                <w:sz w:val="18"/>
                <w:szCs w:val="18"/>
                <w:lang w:eastAsia="sl-SI"/>
              </w:rPr>
              <w:t>Vlada Republike Slovenije</w:t>
            </w:r>
          </w:p>
        </w:tc>
        <w:tc>
          <w:tcPr>
            <w:tcW w:w="4531" w:type="dxa"/>
          </w:tcPr>
          <w:p w:rsidR="00315BF9" w:rsidRDefault="00315BF9" w:rsidP="00315BF9">
            <w:pPr>
              <w:jc w:val="center"/>
              <w:rPr>
                <w:rFonts w:ascii="Arial" w:eastAsia="Times New Roman" w:hAnsi="Arial" w:cs="Arial"/>
                <w:sz w:val="20"/>
                <w:szCs w:val="20"/>
                <w:lang w:eastAsia="sl-SI"/>
              </w:rPr>
            </w:pPr>
            <w:r w:rsidRPr="00315BF9">
              <w:rPr>
                <w:rFonts w:ascii="Arial" w:eastAsia="Times New Roman" w:hAnsi="Arial" w:cs="Arial"/>
                <w:b/>
                <w:bCs/>
                <w:color w:val="000000"/>
                <w:sz w:val="18"/>
                <w:szCs w:val="18"/>
                <w:lang w:eastAsia="sl-SI"/>
              </w:rPr>
              <w:t>Reprezentativni sindikati javnega sektorja</w:t>
            </w: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Default="00315BF9" w:rsidP="00315BF9">
            <w:pPr>
              <w:jc w:val="center"/>
              <w:rPr>
                <w:rFonts w:ascii="Arial" w:eastAsia="Times New Roman" w:hAnsi="Arial" w:cs="Arial"/>
                <w:sz w:val="20"/>
                <w:szCs w:val="20"/>
                <w:lang w:eastAsia="sl-SI"/>
              </w:rPr>
            </w:pP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dr. Vasko Simoniti </w:t>
            </w:r>
          </w:p>
          <w:p w:rsidR="00315BF9" w:rsidRDefault="00315BF9" w:rsidP="00315BF9">
            <w:pPr>
              <w:jc w:val="center"/>
              <w:rPr>
                <w:rFonts w:ascii="Arial" w:eastAsia="Times New Roman" w:hAnsi="Arial" w:cs="Arial"/>
                <w:sz w:val="20"/>
                <w:szCs w:val="20"/>
                <w:lang w:eastAsia="sl-SI"/>
              </w:rPr>
            </w:pPr>
            <w:r>
              <w:rPr>
                <w:rFonts w:ascii="Arial" w:eastAsia="Times New Roman" w:hAnsi="Arial" w:cs="Arial"/>
                <w:sz w:val="20"/>
                <w:szCs w:val="20"/>
                <w:lang w:eastAsia="sl-SI"/>
              </w:rPr>
              <w:t>Minister za kulturo</w:t>
            </w:r>
          </w:p>
        </w:tc>
        <w:tc>
          <w:tcPr>
            <w:tcW w:w="4531" w:type="dxa"/>
          </w:tcPr>
          <w:p w:rsidR="00315BF9" w:rsidRPr="00A75393" w:rsidRDefault="00315BF9" w:rsidP="00315BF9">
            <w:pPr>
              <w:ind w:firstLine="330"/>
              <w:jc w:val="center"/>
              <w:rPr>
                <w:rFonts w:ascii="Arial" w:eastAsia="Times New Roman" w:hAnsi="Arial" w:cs="Arial"/>
                <w:color w:val="000000"/>
                <w:sz w:val="18"/>
                <w:szCs w:val="18"/>
                <w:lang w:eastAsia="sl-SI"/>
              </w:rPr>
            </w:pPr>
            <w:r w:rsidRPr="00A75393">
              <w:rPr>
                <w:rFonts w:ascii="Arial" w:eastAsia="Times New Roman" w:hAnsi="Arial" w:cs="Arial"/>
                <w:color w:val="000000"/>
                <w:sz w:val="18"/>
                <w:szCs w:val="18"/>
                <w:lang w:eastAsia="sl-SI"/>
              </w:rPr>
              <w:t>GLOSA – SINDIKAT KULTURE IN NARAVE SLOVENIJE</w:t>
            </w:r>
          </w:p>
          <w:p w:rsidR="00315BF9" w:rsidRPr="00A75393" w:rsidRDefault="00315BF9" w:rsidP="00315BF9">
            <w:pPr>
              <w:jc w:val="center"/>
              <w:rPr>
                <w:rFonts w:ascii="Arial" w:eastAsia="Times New Roman" w:hAnsi="Arial" w:cs="Arial"/>
                <w:sz w:val="20"/>
                <w:szCs w:val="20"/>
                <w:lang w:eastAsia="sl-SI"/>
              </w:rPr>
            </w:pPr>
            <w:r w:rsidRPr="00A75393">
              <w:rPr>
                <w:rFonts w:ascii="Arial" w:eastAsia="Times New Roman" w:hAnsi="Arial" w:cs="Arial"/>
                <w:bCs/>
                <w:color w:val="000000"/>
                <w:sz w:val="18"/>
                <w:szCs w:val="18"/>
                <w:lang w:eastAsia="sl-SI"/>
              </w:rPr>
              <w:t>Mitja Šuštar</w:t>
            </w: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jc w:val="center"/>
              <w:rPr>
                <w:rFonts w:ascii="Arial" w:eastAsia="Times New Roman" w:hAnsi="Arial" w:cs="Arial"/>
                <w:sz w:val="20"/>
                <w:szCs w:val="20"/>
                <w:lang w:eastAsia="sl-SI"/>
              </w:rPr>
            </w:pP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ind w:firstLine="330"/>
              <w:jc w:val="center"/>
              <w:rPr>
                <w:rFonts w:ascii="Arial" w:eastAsia="Times New Roman" w:hAnsi="Arial" w:cs="Arial"/>
                <w:color w:val="000000"/>
                <w:sz w:val="18"/>
                <w:szCs w:val="18"/>
                <w:lang w:eastAsia="sl-SI"/>
              </w:rPr>
            </w:pPr>
            <w:r w:rsidRPr="00A75393">
              <w:rPr>
                <w:rFonts w:ascii="Arial" w:eastAsia="Times New Roman" w:hAnsi="Arial" w:cs="Arial"/>
                <w:color w:val="000000"/>
                <w:sz w:val="18"/>
                <w:szCs w:val="18"/>
                <w:lang w:eastAsia="sl-SI"/>
              </w:rPr>
              <w:t>SVIZ – SINDIKAT VZGOJE, IZOBRAŽEVANJA, ZNANOSTI IN KULTURE SLOVENIJE</w:t>
            </w:r>
          </w:p>
          <w:p w:rsidR="00315BF9" w:rsidRPr="00A75393" w:rsidRDefault="00315BF9" w:rsidP="00315BF9">
            <w:pPr>
              <w:jc w:val="center"/>
              <w:rPr>
                <w:rFonts w:ascii="Arial" w:eastAsia="Times New Roman" w:hAnsi="Arial" w:cs="Arial"/>
                <w:sz w:val="20"/>
                <w:szCs w:val="20"/>
                <w:lang w:eastAsia="sl-SI"/>
              </w:rPr>
            </w:pPr>
            <w:r w:rsidRPr="00A75393">
              <w:rPr>
                <w:rFonts w:ascii="Arial" w:eastAsia="Times New Roman" w:hAnsi="Arial" w:cs="Arial"/>
                <w:bCs/>
                <w:color w:val="000000"/>
                <w:sz w:val="18"/>
                <w:szCs w:val="18"/>
                <w:lang w:eastAsia="sl-SI"/>
              </w:rPr>
              <w:t>Branimir Štrukelj</w:t>
            </w: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jc w:val="center"/>
              <w:rPr>
                <w:rFonts w:ascii="Arial" w:eastAsia="Times New Roman" w:hAnsi="Arial" w:cs="Arial"/>
                <w:sz w:val="20"/>
                <w:szCs w:val="20"/>
                <w:lang w:eastAsia="sl-SI"/>
              </w:rPr>
            </w:pP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ind w:firstLine="330"/>
              <w:jc w:val="center"/>
              <w:rPr>
                <w:rFonts w:ascii="Arial" w:eastAsia="Times New Roman" w:hAnsi="Arial" w:cs="Arial"/>
                <w:color w:val="000000"/>
                <w:sz w:val="18"/>
                <w:szCs w:val="18"/>
                <w:lang w:eastAsia="sl-SI"/>
              </w:rPr>
            </w:pPr>
            <w:r w:rsidRPr="00A75393">
              <w:rPr>
                <w:rFonts w:ascii="Arial" w:eastAsia="Times New Roman" w:hAnsi="Arial" w:cs="Arial"/>
                <w:color w:val="000000"/>
                <w:sz w:val="18"/>
                <w:szCs w:val="18"/>
                <w:lang w:eastAsia="sl-SI"/>
              </w:rPr>
              <w:t>SINDIKAT NOVINARJEV SLOVENIJE</w:t>
            </w:r>
          </w:p>
          <w:p w:rsidR="00315BF9" w:rsidRPr="00A75393" w:rsidRDefault="00315BF9" w:rsidP="00315BF9">
            <w:pPr>
              <w:jc w:val="center"/>
              <w:rPr>
                <w:rFonts w:ascii="Arial" w:eastAsia="Times New Roman" w:hAnsi="Arial" w:cs="Arial"/>
                <w:sz w:val="20"/>
                <w:szCs w:val="20"/>
                <w:lang w:eastAsia="sl-SI"/>
              </w:rPr>
            </w:pPr>
            <w:r w:rsidRPr="00A75393">
              <w:rPr>
                <w:rFonts w:ascii="Arial" w:eastAsia="Times New Roman" w:hAnsi="Arial" w:cs="Arial"/>
                <w:bCs/>
                <w:color w:val="000000"/>
                <w:sz w:val="18"/>
                <w:szCs w:val="18"/>
                <w:lang w:eastAsia="sl-SI"/>
              </w:rPr>
              <w:t>Tomaž Karat</w:t>
            </w: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jc w:val="center"/>
              <w:rPr>
                <w:rFonts w:ascii="Arial" w:eastAsia="Times New Roman" w:hAnsi="Arial" w:cs="Arial"/>
                <w:sz w:val="20"/>
                <w:szCs w:val="20"/>
                <w:lang w:eastAsia="sl-SI"/>
              </w:rPr>
            </w:pP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ind w:firstLine="330"/>
              <w:jc w:val="center"/>
              <w:rPr>
                <w:rFonts w:ascii="Arial" w:eastAsia="Times New Roman" w:hAnsi="Arial" w:cs="Arial"/>
                <w:color w:val="000000"/>
                <w:sz w:val="18"/>
                <w:szCs w:val="18"/>
                <w:lang w:eastAsia="sl-SI"/>
              </w:rPr>
            </w:pPr>
            <w:r w:rsidRPr="00A75393">
              <w:rPr>
                <w:rFonts w:ascii="Arial" w:eastAsia="Times New Roman" w:hAnsi="Arial" w:cs="Arial"/>
                <w:color w:val="000000"/>
                <w:sz w:val="18"/>
                <w:szCs w:val="18"/>
                <w:lang w:eastAsia="sl-SI"/>
              </w:rPr>
              <w:t>SINDIKAT DELAVCEV RADIODIFUZIJE SLOVENIJE</w:t>
            </w:r>
          </w:p>
          <w:p w:rsidR="00315BF9" w:rsidRPr="00A75393" w:rsidRDefault="00315BF9" w:rsidP="00315BF9">
            <w:pPr>
              <w:jc w:val="center"/>
              <w:rPr>
                <w:rFonts w:ascii="Arial" w:eastAsia="Times New Roman" w:hAnsi="Arial" w:cs="Arial"/>
                <w:sz w:val="20"/>
                <w:szCs w:val="20"/>
                <w:lang w:eastAsia="sl-SI"/>
              </w:rPr>
            </w:pPr>
            <w:r w:rsidRPr="00A75393">
              <w:rPr>
                <w:rFonts w:ascii="Arial" w:eastAsia="Times New Roman" w:hAnsi="Arial" w:cs="Arial"/>
                <w:bCs/>
                <w:color w:val="000000"/>
                <w:sz w:val="18"/>
                <w:szCs w:val="18"/>
                <w:lang w:eastAsia="sl-SI"/>
              </w:rPr>
              <w:t>Tom Zalaznik</w:t>
            </w: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jc w:val="center"/>
              <w:rPr>
                <w:rFonts w:ascii="Arial" w:eastAsia="Times New Roman" w:hAnsi="Arial" w:cs="Arial"/>
                <w:sz w:val="20"/>
                <w:szCs w:val="20"/>
                <w:lang w:eastAsia="sl-SI"/>
              </w:rPr>
            </w:pPr>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Pr="00A75393" w:rsidRDefault="00315BF9" w:rsidP="00315BF9">
            <w:pPr>
              <w:ind w:firstLine="330"/>
              <w:jc w:val="center"/>
              <w:rPr>
                <w:rFonts w:ascii="Arial" w:eastAsia="Times New Roman" w:hAnsi="Arial" w:cs="Arial"/>
                <w:color w:val="000000"/>
                <w:sz w:val="18"/>
                <w:szCs w:val="18"/>
                <w:lang w:eastAsia="sl-SI"/>
              </w:rPr>
            </w:pPr>
            <w:r w:rsidRPr="00A75393">
              <w:rPr>
                <w:rFonts w:ascii="Arial" w:eastAsia="Times New Roman" w:hAnsi="Arial" w:cs="Arial"/>
                <w:color w:val="000000"/>
                <w:sz w:val="18"/>
                <w:szCs w:val="18"/>
                <w:lang w:eastAsia="sl-SI"/>
              </w:rPr>
              <w:t>SINDIKAT KULTURNIH IN UMETNIŠKIH USTVARJALCEV RTV SLOVENIJE</w:t>
            </w:r>
          </w:p>
          <w:p w:rsidR="00315BF9" w:rsidRPr="00A75393" w:rsidRDefault="00315BF9" w:rsidP="00315BF9">
            <w:pPr>
              <w:jc w:val="center"/>
              <w:rPr>
                <w:rFonts w:ascii="Arial" w:eastAsia="Times New Roman" w:hAnsi="Arial" w:cs="Arial"/>
                <w:sz w:val="20"/>
                <w:szCs w:val="20"/>
                <w:lang w:eastAsia="sl-SI"/>
              </w:rPr>
            </w:pPr>
            <w:r w:rsidRPr="00A75393">
              <w:rPr>
                <w:rFonts w:ascii="Arial" w:eastAsia="Times New Roman" w:hAnsi="Arial" w:cs="Arial"/>
                <w:bCs/>
                <w:color w:val="000000"/>
                <w:sz w:val="18"/>
                <w:szCs w:val="18"/>
                <w:lang w:eastAsia="sl-SI"/>
              </w:rPr>
              <w:t>Peter Kosmač</w:t>
            </w:r>
            <w:bookmarkStart w:id="1" w:name="_GoBack"/>
            <w:bookmarkEnd w:id="1"/>
          </w:p>
        </w:tc>
      </w:tr>
      <w:tr w:rsidR="00315BF9" w:rsidTr="00315BF9">
        <w:tc>
          <w:tcPr>
            <w:tcW w:w="4531" w:type="dxa"/>
          </w:tcPr>
          <w:p w:rsidR="00315BF9" w:rsidRDefault="00315BF9" w:rsidP="00315BF9">
            <w:pPr>
              <w:jc w:val="center"/>
              <w:rPr>
                <w:rFonts w:ascii="Arial" w:eastAsia="Times New Roman" w:hAnsi="Arial" w:cs="Arial"/>
                <w:sz w:val="20"/>
                <w:szCs w:val="20"/>
                <w:lang w:eastAsia="sl-SI"/>
              </w:rPr>
            </w:pPr>
          </w:p>
        </w:tc>
        <w:tc>
          <w:tcPr>
            <w:tcW w:w="4531" w:type="dxa"/>
          </w:tcPr>
          <w:p w:rsidR="00315BF9" w:rsidRDefault="00315BF9" w:rsidP="00315BF9">
            <w:pPr>
              <w:jc w:val="center"/>
              <w:rPr>
                <w:rFonts w:ascii="Arial" w:eastAsia="Times New Roman" w:hAnsi="Arial" w:cs="Arial"/>
                <w:sz w:val="20"/>
                <w:szCs w:val="20"/>
                <w:lang w:eastAsia="sl-SI"/>
              </w:rPr>
            </w:pPr>
          </w:p>
        </w:tc>
      </w:tr>
    </w:tbl>
    <w:p w:rsidR="00315BF9" w:rsidRPr="002B1558" w:rsidRDefault="00315BF9" w:rsidP="002B1558">
      <w:pPr>
        <w:shd w:val="clear" w:color="auto" w:fill="FFFFFF"/>
        <w:spacing w:after="0" w:line="240" w:lineRule="auto"/>
        <w:rPr>
          <w:rFonts w:ascii="Arial" w:eastAsia="Times New Roman" w:hAnsi="Arial" w:cs="Arial"/>
          <w:sz w:val="20"/>
          <w:szCs w:val="20"/>
          <w:lang w:eastAsia="sl-SI"/>
        </w:rPr>
      </w:pPr>
    </w:p>
    <w:tbl>
      <w:tblPr>
        <w:tblW w:w="11625"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772"/>
        <w:gridCol w:w="5853"/>
      </w:tblGrid>
      <w:tr w:rsidR="00315BF9" w:rsidRPr="00315BF9" w:rsidTr="00315BF9">
        <w:tc>
          <w:tcPr>
            <w:tcW w:w="5325"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b/>
                <w:bCs/>
                <w:color w:val="000000"/>
                <w:sz w:val="18"/>
                <w:szCs w:val="18"/>
                <w:lang w:eastAsia="sl-SI"/>
              </w:rPr>
            </w:pPr>
          </w:p>
        </w:tc>
        <w:tc>
          <w:tcPr>
            <w:tcW w:w="5400"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b/>
                <w:bCs/>
                <w:color w:val="000000"/>
                <w:sz w:val="18"/>
                <w:szCs w:val="18"/>
                <w:lang w:eastAsia="sl-SI"/>
              </w:rPr>
            </w:pPr>
          </w:p>
        </w:tc>
      </w:tr>
      <w:tr w:rsidR="00315BF9" w:rsidRPr="00315BF9" w:rsidTr="00315BF9">
        <w:tc>
          <w:tcPr>
            <w:tcW w:w="5325" w:type="dxa"/>
            <w:shd w:val="clear" w:color="auto" w:fill="FFFFFF"/>
            <w:tcMar>
              <w:top w:w="30" w:type="dxa"/>
              <w:left w:w="30" w:type="dxa"/>
              <w:bottom w:w="120" w:type="dxa"/>
              <w:right w:w="30" w:type="dxa"/>
            </w:tcMar>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c>
          <w:tcPr>
            <w:tcW w:w="5400"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r>
      <w:tr w:rsidR="00315BF9" w:rsidRPr="00315BF9" w:rsidTr="00315BF9">
        <w:tc>
          <w:tcPr>
            <w:tcW w:w="5325" w:type="dxa"/>
            <w:shd w:val="clear" w:color="auto" w:fill="FFFFFF"/>
            <w:tcMar>
              <w:top w:w="30" w:type="dxa"/>
              <w:left w:w="30" w:type="dxa"/>
              <w:bottom w:w="120" w:type="dxa"/>
              <w:right w:w="30" w:type="dxa"/>
            </w:tcMar>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c>
          <w:tcPr>
            <w:tcW w:w="5400"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r>
      <w:tr w:rsidR="00315BF9" w:rsidRPr="00315BF9" w:rsidTr="00315BF9">
        <w:tc>
          <w:tcPr>
            <w:tcW w:w="5325" w:type="dxa"/>
            <w:shd w:val="clear" w:color="auto" w:fill="FFFFFF"/>
            <w:tcMar>
              <w:top w:w="30" w:type="dxa"/>
              <w:left w:w="30" w:type="dxa"/>
              <w:bottom w:w="120" w:type="dxa"/>
              <w:right w:w="30" w:type="dxa"/>
            </w:tcMar>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c>
          <w:tcPr>
            <w:tcW w:w="5400"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r>
      <w:tr w:rsidR="00315BF9" w:rsidRPr="00315BF9" w:rsidTr="00315BF9">
        <w:tc>
          <w:tcPr>
            <w:tcW w:w="5325" w:type="dxa"/>
            <w:shd w:val="clear" w:color="auto" w:fill="FFFFFF"/>
            <w:tcMar>
              <w:top w:w="30" w:type="dxa"/>
              <w:left w:w="30" w:type="dxa"/>
              <w:bottom w:w="120" w:type="dxa"/>
              <w:right w:w="30" w:type="dxa"/>
            </w:tcMar>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c>
          <w:tcPr>
            <w:tcW w:w="5400"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r>
      <w:tr w:rsidR="00315BF9" w:rsidRPr="00315BF9" w:rsidTr="00315BF9">
        <w:tc>
          <w:tcPr>
            <w:tcW w:w="5325" w:type="dxa"/>
            <w:shd w:val="clear" w:color="auto" w:fill="FFFFFF"/>
            <w:tcMar>
              <w:top w:w="30" w:type="dxa"/>
              <w:left w:w="30" w:type="dxa"/>
              <w:bottom w:w="120" w:type="dxa"/>
              <w:right w:w="30" w:type="dxa"/>
            </w:tcMar>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c>
          <w:tcPr>
            <w:tcW w:w="5400" w:type="dxa"/>
            <w:shd w:val="clear" w:color="auto" w:fill="FFFFFF"/>
            <w:tcMar>
              <w:top w:w="30" w:type="dxa"/>
              <w:left w:w="30" w:type="dxa"/>
              <w:bottom w:w="120" w:type="dxa"/>
              <w:right w:w="30" w:type="dxa"/>
            </w:tcMar>
            <w:hideMark/>
          </w:tcPr>
          <w:p w:rsidR="00315BF9" w:rsidRPr="00315BF9" w:rsidRDefault="00315BF9" w:rsidP="00315BF9">
            <w:pPr>
              <w:spacing w:after="0" w:line="240" w:lineRule="auto"/>
              <w:ind w:firstLine="330"/>
              <w:jc w:val="center"/>
              <w:rPr>
                <w:rFonts w:ascii="Arial" w:eastAsia="Times New Roman" w:hAnsi="Arial" w:cs="Arial"/>
                <w:color w:val="000000"/>
                <w:sz w:val="18"/>
                <w:szCs w:val="18"/>
                <w:lang w:eastAsia="sl-SI"/>
              </w:rPr>
            </w:pPr>
          </w:p>
        </w:tc>
      </w:tr>
    </w:tbl>
    <w:p w:rsidR="00F00F2D" w:rsidRPr="002B1558" w:rsidRDefault="00486F13" w:rsidP="00315BF9">
      <w:pPr>
        <w:shd w:val="clear" w:color="auto" w:fill="FFFFFF"/>
        <w:spacing w:after="0" w:line="240" w:lineRule="auto"/>
        <w:jc w:val="center"/>
        <w:rPr>
          <w:rFonts w:ascii="Arial" w:hAnsi="Arial" w:cs="Arial"/>
          <w:sz w:val="20"/>
          <w:szCs w:val="20"/>
        </w:rPr>
      </w:pPr>
    </w:p>
    <w:sectPr w:rsidR="00F00F2D" w:rsidRPr="002B1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506"/>
    <w:multiLevelType w:val="hybridMultilevel"/>
    <w:tmpl w:val="C8785D2C"/>
    <w:lvl w:ilvl="0" w:tplc="0A20E74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C403F6"/>
    <w:multiLevelType w:val="hybridMultilevel"/>
    <w:tmpl w:val="57388CFE"/>
    <w:lvl w:ilvl="0" w:tplc="0A20E74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F41415"/>
    <w:multiLevelType w:val="multilevel"/>
    <w:tmpl w:val="89F26B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1D5910"/>
    <w:multiLevelType w:val="hybridMultilevel"/>
    <w:tmpl w:val="87A8E2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E7B39BB"/>
    <w:multiLevelType w:val="hybridMultilevel"/>
    <w:tmpl w:val="9ECA174A"/>
    <w:lvl w:ilvl="0" w:tplc="0A20E744">
      <w:start w:val="2"/>
      <w:numFmt w:val="decimal"/>
      <w:lvlText w:val="%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58"/>
    <w:rsid w:val="00035EAA"/>
    <w:rsid w:val="002811E3"/>
    <w:rsid w:val="002B1558"/>
    <w:rsid w:val="00315BF9"/>
    <w:rsid w:val="00396D65"/>
    <w:rsid w:val="003C2544"/>
    <w:rsid w:val="00486F13"/>
    <w:rsid w:val="00510F90"/>
    <w:rsid w:val="0064541F"/>
    <w:rsid w:val="007018D9"/>
    <w:rsid w:val="00842F3A"/>
    <w:rsid w:val="00A75393"/>
    <w:rsid w:val="00AC63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DDD"/>
  <w15:chartTrackingRefBased/>
  <w15:docId w15:val="{FA6CCCCD-34D6-4F08-96E7-4547419C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B1558"/>
    <w:rPr>
      <w:color w:val="0000FF"/>
      <w:u w:val="single"/>
    </w:rPr>
  </w:style>
  <w:style w:type="paragraph" w:styleId="Odstavekseznama">
    <w:name w:val="List Paragraph"/>
    <w:basedOn w:val="Navaden"/>
    <w:uiPriority w:val="34"/>
    <w:qFormat/>
    <w:rsid w:val="002B1558"/>
    <w:pPr>
      <w:ind w:left="720"/>
      <w:contextualSpacing/>
    </w:pPr>
  </w:style>
  <w:style w:type="table" w:styleId="Tabelamrea">
    <w:name w:val="Table Grid"/>
    <w:basedOn w:val="Navadnatabela"/>
    <w:uiPriority w:val="39"/>
    <w:rsid w:val="0031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709">
      <w:bodyDiv w:val="1"/>
      <w:marLeft w:val="0"/>
      <w:marRight w:val="0"/>
      <w:marTop w:val="0"/>
      <w:marBottom w:val="0"/>
      <w:divBdr>
        <w:top w:val="none" w:sz="0" w:space="0" w:color="auto"/>
        <w:left w:val="none" w:sz="0" w:space="0" w:color="auto"/>
        <w:bottom w:val="none" w:sz="0" w:space="0" w:color="auto"/>
        <w:right w:val="none" w:sz="0" w:space="0" w:color="auto"/>
      </w:divBdr>
      <w:divsChild>
        <w:div w:id="330379106">
          <w:marLeft w:val="0"/>
          <w:marRight w:val="0"/>
          <w:marTop w:val="0"/>
          <w:marBottom w:val="120"/>
          <w:divBdr>
            <w:top w:val="none" w:sz="0" w:space="0" w:color="auto"/>
            <w:left w:val="none" w:sz="0" w:space="0" w:color="auto"/>
            <w:bottom w:val="none" w:sz="0" w:space="0" w:color="auto"/>
            <w:right w:val="none" w:sz="0" w:space="0" w:color="auto"/>
          </w:divBdr>
        </w:div>
        <w:div w:id="1605839895">
          <w:marLeft w:val="0"/>
          <w:marRight w:val="0"/>
          <w:marTop w:val="0"/>
          <w:marBottom w:val="120"/>
          <w:divBdr>
            <w:top w:val="none" w:sz="0" w:space="0" w:color="auto"/>
            <w:left w:val="none" w:sz="0" w:space="0" w:color="auto"/>
            <w:bottom w:val="none" w:sz="0" w:space="0" w:color="auto"/>
            <w:right w:val="none" w:sz="0" w:space="0" w:color="auto"/>
          </w:divBdr>
        </w:div>
        <w:div w:id="95030369">
          <w:marLeft w:val="0"/>
          <w:marRight w:val="0"/>
          <w:marTop w:val="0"/>
          <w:marBottom w:val="120"/>
          <w:divBdr>
            <w:top w:val="none" w:sz="0" w:space="0" w:color="auto"/>
            <w:left w:val="none" w:sz="0" w:space="0" w:color="auto"/>
            <w:bottom w:val="none" w:sz="0" w:space="0" w:color="auto"/>
            <w:right w:val="none" w:sz="0" w:space="0" w:color="auto"/>
          </w:divBdr>
        </w:div>
        <w:div w:id="1673530940">
          <w:marLeft w:val="0"/>
          <w:marRight w:val="0"/>
          <w:marTop w:val="0"/>
          <w:marBottom w:val="120"/>
          <w:divBdr>
            <w:top w:val="none" w:sz="0" w:space="0" w:color="auto"/>
            <w:left w:val="none" w:sz="0" w:space="0" w:color="auto"/>
            <w:bottom w:val="none" w:sz="0" w:space="0" w:color="auto"/>
            <w:right w:val="none" w:sz="0" w:space="0" w:color="auto"/>
          </w:divBdr>
        </w:div>
        <w:div w:id="728457357">
          <w:marLeft w:val="0"/>
          <w:marRight w:val="0"/>
          <w:marTop w:val="0"/>
          <w:marBottom w:val="120"/>
          <w:divBdr>
            <w:top w:val="none" w:sz="0" w:space="0" w:color="auto"/>
            <w:left w:val="none" w:sz="0" w:space="0" w:color="auto"/>
            <w:bottom w:val="none" w:sz="0" w:space="0" w:color="auto"/>
            <w:right w:val="none" w:sz="0" w:space="0" w:color="auto"/>
          </w:divBdr>
        </w:div>
        <w:div w:id="525018855">
          <w:marLeft w:val="0"/>
          <w:marRight w:val="0"/>
          <w:marTop w:val="0"/>
          <w:marBottom w:val="120"/>
          <w:divBdr>
            <w:top w:val="none" w:sz="0" w:space="0" w:color="auto"/>
            <w:left w:val="none" w:sz="0" w:space="0" w:color="auto"/>
            <w:bottom w:val="none" w:sz="0" w:space="0" w:color="auto"/>
            <w:right w:val="none" w:sz="0" w:space="0" w:color="auto"/>
          </w:divBdr>
        </w:div>
      </w:divsChild>
    </w:div>
    <w:div w:id="567036442">
      <w:bodyDiv w:val="1"/>
      <w:marLeft w:val="0"/>
      <w:marRight w:val="0"/>
      <w:marTop w:val="0"/>
      <w:marBottom w:val="0"/>
      <w:divBdr>
        <w:top w:val="none" w:sz="0" w:space="0" w:color="auto"/>
        <w:left w:val="none" w:sz="0" w:space="0" w:color="auto"/>
        <w:bottom w:val="none" w:sz="0" w:space="0" w:color="auto"/>
        <w:right w:val="none" w:sz="0" w:space="0" w:color="auto"/>
      </w:divBdr>
      <w:divsChild>
        <w:div w:id="1321496666">
          <w:marLeft w:val="0"/>
          <w:marRight w:val="0"/>
          <w:marTop w:val="0"/>
          <w:marBottom w:val="0"/>
          <w:divBdr>
            <w:top w:val="none" w:sz="0" w:space="0" w:color="auto"/>
            <w:left w:val="none" w:sz="0" w:space="0" w:color="auto"/>
            <w:bottom w:val="none" w:sz="0" w:space="0" w:color="auto"/>
            <w:right w:val="none" w:sz="0" w:space="0" w:color="auto"/>
          </w:divBdr>
        </w:div>
        <w:div w:id="1395735102">
          <w:marLeft w:val="0"/>
          <w:marRight w:val="0"/>
          <w:marTop w:val="0"/>
          <w:marBottom w:val="0"/>
          <w:divBdr>
            <w:top w:val="none" w:sz="0" w:space="0" w:color="auto"/>
            <w:left w:val="none" w:sz="0" w:space="0" w:color="auto"/>
            <w:bottom w:val="none" w:sz="0" w:space="0" w:color="auto"/>
            <w:right w:val="none" w:sz="0" w:space="0" w:color="auto"/>
          </w:divBdr>
        </w:div>
        <w:div w:id="1918778749">
          <w:marLeft w:val="0"/>
          <w:marRight w:val="0"/>
          <w:marTop w:val="0"/>
          <w:marBottom w:val="0"/>
          <w:divBdr>
            <w:top w:val="none" w:sz="0" w:space="0" w:color="auto"/>
            <w:left w:val="none" w:sz="0" w:space="0" w:color="auto"/>
            <w:bottom w:val="none" w:sz="0" w:space="0" w:color="auto"/>
            <w:right w:val="none" w:sz="0" w:space="0" w:color="auto"/>
          </w:divBdr>
        </w:div>
        <w:div w:id="278535649">
          <w:marLeft w:val="0"/>
          <w:marRight w:val="0"/>
          <w:marTop w:val="0"/>
          <w:marBottom w:val="0"/>
          <w:divBdr>
            <w:top w:val="none" w:sz="0" w:space="0" w:color="auto"/>
            <w:left w:val="none" w:sz="0" w:space="0" w:color="auto"/>
            <w:bottom w:val="none" w:sz="0" w:space="0" w:color="auto"/>
            <w:right w:val="none" w:sz="0" w:space="0" w:color="auto"/>
          </w:divBdr>
        </w:div>
        <w:div w:id="1415084380">
          <w:marLeft w:val="0"/>
          <w:marRight w:val="0"/>
          <w:marTop w:val="0"/>
          <w:marBottom w:val="0"/>
          <w:divBdr>
            <w:top w:val="none" w:sz="0" w:space="0" w:color="auto"/>
            <w:left w:val="none" w:sz="0" w:space="0" w:color="auto"/>
            <w:bottom w:val="none" w:sz="0" w:space="0" w:color="auto"/>
            <w:right w:val="none" w:sz="0" w:space="0" w:color="auto"/>
          </w:divBdr>
        </w:div>
        <w:div w:id="1793863702">
          <w:marLeft w:val="0"/>
          <w:marRight w:val="0"/>
          <w:marTop w:val="0"/>
          <w:marBottom w:val="0"/>
          <w:divBdr>
            <w:top w:val="none" w:sz="0" w:space="0" w:color="auto"/>
            <w:left w:val="none" w:sz="0" w:space="0" w:color="auto"/>
            <w:bottom w:val="none" w:sz="0" w:space="0" w:color="auto"/>
            <w:right w:val="none" w:sz="0" w:space="0" w:color="auto"/>
          </w:divBdr>
        </w:div>
        <w:div w:id="1424297256">
          <w:marLeft w:val="0"/>
          <w:marRight w:val="0"/>
          <w:marTop w:val="0"/>
          <w:marBottom w:val="0"/>
          <w:divBdr>
            <w:top w:val="none" w:sz="0" w:space="0" w:color="auto"/>
            <w:left w:val="none" w:sz="0" w:space="0" w:color="auto"/>
            <w:bottom w:val="none" w:sz="0" w:space="0" w:color="auto"/>
            <w:right w:val="none" w:sz="0" w:space="0" w:color="auto"/>
          </w:divBdr>
        </w:div>
        <w:div w:id="973220538">
          <w:marLeft w:val="0"/>
          <w:marRight w:val="0"/>
          <w:marTop w:val="0"/>
          <w:marBottom w:val="0"/>
          <w:divBdr>
            <w:top w:val="none" w:sz="0" w:space="0" w:color="auto"/>
            <w:left w:val="none" w:sz="0" w:space="0" w:color="auto"/>
            <w:bottom w:val="none" w:sz="0" w:space="0" w:color="auto"/>
            <w:right w:val="none" w:sz="0" w:space="0" w:color="auto"/>
          </w:divBdr>
        </w:div>
      </w:divsChild>
    </w:div>
    <w:div w:id="1980650606">
      <w:bodyDiv w:val="1"/>
      <w:marLeft w:val="0"/>
      <w:marRight w:val="0"/>
      <w:marTop w:val="0"/>
      <w:marBottom w:val="0"/>
      <w:divBdr>
        <w:top w:val="none" w:sz="0" w:space="0" w:color="auto"/>
        <w:left w:val="none" w:sz="0" w:space="0" w:color="auto"/>
        <w:bottom w:val="none" w:sz="0" w:space="0" w:color="auto"/>
        <w:right w:val="none" w:sz="0" w:space="0" w:color="auto"/>
      </w:divBdr>
      <w:divsChild>
        <w:div w:id="1624848507">
          <w:marLeft w:val="0"/>
          <w:marRight w:val="0"/>
          <w:marTop w:val="0"/>
          <w:marBottom w:val="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4</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Brus</dc:creator>
  <cp:keywords/>
  <dc:description/>
  <cp:lastModifiedBy>Katja Knez</cp:lastModifiedBy>
  <cp:revision>2</cp:revision>
  <dcterms:created xsi:type="dcterms:W3CDTF">2020-10-29T06:41:00Z</dcterms:created>
  <dcterms:modified xsi:type="dcterms:W3CDTF">2020-10-29T06:41:00Z</dcterms:modified>
</cp:coreProperties>
</file>